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22D2D">
      <w:pPr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  <w:r>
        <w:rPr>
          <w:rFonts w:ascii="Times New Roman" w:hAnsi="Times New Roman" w:cs="Times New Roman"/>
          <w:b/>
          <w:sz w:val="56"/>
          <w:szCs w:val="56"/>
          <w:lang w:val="uk-UA"/>
        </w:rPr>
        <w:t>Звіт</w:t>
      </w:r>
    </w:p>
    <w:p w14:paraId="167668F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за результатами визначення потреб у соціальних послугах</w:t>
      </w:r>
    </w:p>
    <w:p w14:paraId="41356094">
      <w:pPr>
        <w:spacing w:line="240" w:lineRule="auto"/>
        <w:jc w:val="center"/>
        <w:rPr>
          <w:rFonts w:hint="default"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Лебединської міської територіальної громади</w:t>
      </w:r>
      <w:r>
        <w:rPr>
          <w:rFonts w:hint="default" w:ascii="Times New Roman" w:hAnsi="Times New Roman" w:cs="Times New Roman"/>
          <w:b/>
          <w:sz w:val="32"/>
          <w:szCs w:val="32"/>
          <w:lang w:val="uk-UA"/>
        </w:rPr>
        <w:t xml:space="preserve"> 2024 </w:t>
      </w:r>
      <w:bookmarkStart w:id="0" w:name="_GoBack"/>
      <w:bookmarkEnd w:id="0"/>
      <w:r>
        <w:rPr>
          <w:rFonts w:hint="default" w:ascii="Times New Roman" w:hAnsi="Times New Roman" w:cs="Times New Roman"/>
          <w:b/>
          <w:sz w:val="32"/>
          <w:szCs w:val="32"/>
          <w:lang w:val="uk-UA"/>
        </w:rPr>
        <w:t>рік</w:t>
      </w:r>
    </w:p>
    <w:p w14:paraId="0D361F5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І. Вступна частина</w:t>
      </w:r>
    </w:p>
    <w:p w14:paraId="3E4E2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Одним з основних напрямків державної політики у сфері соціального захисту населення є турбота про людей, які перебувають у складних життєвих обставинах. </w:t>
      </w:r>
    </w:p>
    <w:p w14:paraId="19A178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наказу Міністерства соціальної політики України від 19.04.2023р. № 130-Н «Про затвердження Порядку визначення потреб населення адміністративно-територіальної одиниці у соціальних послугах», з метою виявлення та аналізу потреб громадян Лебединської міської територіальної громади, які перебувають у складних життєвих обставинах, визначення пріоритетів щодо надання соціальних послуг  рішенням виконавчого комітету Лебединської міської ради від 12.10.2023р. №161-ОД створена координаційна група з питань визначення потреб населення Лебединської міської територіальної громади у соціальних послугах.</w:t>
      </w:r>
    </w:p>
    <w:p w14:paraId="5DB2DA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373535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73535"/>
          <w:sz w:val="28"/>
          <w:szCs w:val="28"/>
          <w:lang w:val="uk-UA"/>
        </w:rPr>
        <w:t>Лебединська міська територіальна громада була створена у 2020 році у результаті адміністративно-територіальної реформи, об’єднавши майже всі населені пункти Лебединського району. Згідно розпорядження Кабінету Міністрів України від 12 червня 2020 р. № 723-р «Про визначення адміністративних центрів та затвердження територій територіальних громад Сумської області» Лебединська міська територіальна громада (м. Лебедин та 124 населені пункти) увійшла до складу новоутвореного Сумського району.</w:t>
      </w:r>
    </w:p>
    <w:p w14:paraId="5E05C3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Станом на 1 січня 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року кількість населення у Лебединській МТГ склала </w:t>
      </w:r>
      <w:r>
        <w:rPr>
          <w:rFonts w:ascii="Times New Roman" w:hAnsi="Times New Roman" w:cs="Times New Roman"/>
          <w:sz w:val="28"/>
          <w:szCs w:val="28"/>
          <w:lang w:val="uk-UA"/>
        </w:rPr>
        <w:t>38485</w:t>
      </w:r>
      <w:r>
        <w:rPr>
          <w:rFonts w:ascii="Times New Roman" w:hAnsi="Times New Roman" w:cs="Times New Roman"/>
          <w:sz w:val="28"/>
          <w:szCs w:val="28"/>
        </w:rPr>
        <w:t xml:space="preserve"> осіб. Переважна більшість населення – жителі м. Лебедин (23</w:t>
      </w:r>
      <w:r>
        <w:rPr>
          <w:rFonts w:ascii="Times New Roman" w:hAnsi="Times New Roman" w:cs="Times New Roman"/>
          <w:sz w:val="28"/>
          <w:szCs w:val="28"/>
          <w:lang w:val="uk-UA"/>
        </w:rPr>
        <w:t>346</w:t>
      </w:r>
      <w:r>
        <w:rPr>
          <w:rFonts w:ascii="Times New Roman" w:hAnsi="Times New Roman" w:cs="Times New Roman"/>
          <w:sz w:val="28"/>
          <w:szCs w:val="28"/>
        </w:rPr>
        <w:t xml:space="preserve"> осіб, це </w:t>
      </w:r>
      <w:r>
        <w:rPr>
          <w:rFonts w:ascii="Times New Roman" w:hAnsi="Times New Roman" w:cs="Times New Roman"/>
          <w:sz w:val="28"/>
          <w:szCs w:val="28"/>
          <w:lang w:val="uk-UA"/>
        </w:rPr>
        <w:t>60</w:t>
      </w:r>
      <w:r>
        <w:rPr>
          <w:rFonts w:ascii="Times New Roman" w:hAnsi="Times New Roman" w:cs="Times New Roman"/>
          <w:sz w:val="28"/>
          <w:szCs w:val="28"/>
        </w:rPr>
        <w:t>% населення), а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5139 </w:t>
      </w:r>
      <w:r>
        <w:rPr>
          <w:rFonts w:ascii="Times New Roman" w:hAnsi="Times New Roman" w:cs="Times New Roman"/>
          <w:sz w:val="28"/>
          <w:szCs w:val="28"/>
        </w:rPr>
        <w:t>осіб (4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%) – жителі решти 121 сіл громади. При чому, в 65 селах Лебединської громади населення складає менше 20 осіб, із яких у 21 селі не проживає жодна людина. Громада є однією з найбільших по території (відстань від центру до найбільш віддаленого села складає 52 км) та чисельності населення в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</w:rPr>
        <w:t>умській області.</w:t>
      </w:r>
    </w:p>
    <w:p w14:paraId="12E081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Починаючи з 2015 року населення </w:t>
      </w:r>
      <w:r>
        <w:rPr>
          <w:rFonts w:ascii="Times New Roman" w:hAnsi="Times New Roman" w:cs="Times New Roman"/>
          <w:sz w:val="28"/>
          <w:szCs w:val="28"/>
        </w:rPr>
        <w:t xml:space="preserve"> скоро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тилося </w:t>
      </w:r>
      <w:r>
        <w:rPr>
          <w:rFonts w:ascii="Times New Roman" w:hAnsi="Times New Roman" w:cs="Times New Roman"/>
          <w:sz w:val="28"/>
          <w:szCs w:val="28"/>
        </w:rPr>
        <w:t xml:space="preserve"> з 47175 осіб до </w:t>
      </w:r>
      <w:r>
        <w:rPr>
          <w:rFonts w:ascii="Times New Roman" w:hAnsi="Times New Roman" w:cs="Times New Roman"/>
          <w:sz w:val="28"/>
          <w:szCs w:val="28"/>
          <w:lang w:val="uk-UA"/>
        </w:rPr>
        <w:t>38845</w:t>
      </w:r>
      <w:r>
        <w:rPr>
          <w:rFonts w:ascii="Times New Roman" w:hAnsi="Times New Roman" w:cs="Times New Roman"/>
          <w:sz w:val="28"/>
          <w:szCs w:val="28"/>
        </w:rPr>
        <w:t xml:space="preserve"> осіб, що складає 1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% . Повномасштабне вторгнення прискорило скорочення населення, у т.ч. через вимушену міграцію. </w:t>
      </w:r>
    </w:p>
    <w:p w14:paraId="05B0F4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Статевий склад населення характеризується перевагою жінок як серед міського, так і серед сільського населення. Зокрема, в Лебединській МТГ жінки складають 52%, а чоловіки 48%. </w:t>
      </w:r>
    </w:p>
    <w:p w14:paraId="1F6FD2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Гендерний склад сільського населення в розрізі старостинських округів станом на 1.06.2023 року (Таблиця 1) свідчить про значне переважання жінок у Курганському СО (59% жінок та 41% чоловіків), Штепівському СО (56% жінок та 44% чоловіків), Михайлівському СО (55% жінок, 45% чоловіків). Натомість чоловіки переважають у Калюженському СО (49% жінок та 51% чоловіків), Пристайлівському СО (48% жінок та 52% чоловіків).</w:t>
      </w:r>
    </w:p>
    <w:p w14:paraId="451242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9D23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Таблиця 1. Гендерний склад населення старостинських округів (зібрано станом на 1.06.2023)</w:t>
      </w:r>
    </w:p>
    <w:p w14:paraId="39AFB9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8"/>
        <w:gridCol w:w="1364"/>
        <w:gridCol w:w="1260"/>
        <w:gridCol w:w="1261"/>
        <w:gridCol w:w="1370"/>
        <w:gridCol w:w="1378"/>
      </w:tblGrid>
      <w:tr w14:paraId="6305B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4" w:type="dxa"/>
          </w:tcPr>
          <w:p w14:paraId="45CAF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42" w:type="dxa"/>
          </w:tcPr>
          <w:p w14:paraId="2BF671EE">
            <w:pPr>
              <w:pStyle w:val="7"/>
            </w:pPr>
            <w:r>
              <w:t xml:space="preserve">ВСЬОГО </w:t>
            </w:r>
          </w:p>
        </w:tc>
        <w:tc>
          <w:tcPr>
            <w:tcW w:w="1328" w:type="dxa"/>
          </w:tcPr>
          <w:p w14:paraId="27A71ACD">
            <w:pPr>
              <w:pStyle w:val="7"/>
            </w:pPr>
            <w:r>
              <w:t xml:space="preserve">Серед них жінок </w:t>
            </w:r>
          </w:p>
        </w:tc>
        <w:tc>
          <w:tcPr>
            <w:tcW w:w="1321" w:type="dxa"/>
          </w:tcPr>
          <w:p w14:paraId="5FE32C8F">
            <w:pPr>
              <w:pStyle w:val="7"/>
            </w:pPr>
            <w:r>
              <w:t xml:space="preserve">%, жінок </w:t>
            </w:r>
          </w:p>
        </w:tc>
        <w:tc>
          <w:tcPr>
            <w:tcW w:w="1448" w:type="dxa"/>
          </w:tcPr>
          <w:p w14:paraId="697FD6E3">
            <w:pPr>
              <w:pStyle w:val="7"/>
            </w:pPr>
            <w:r>
              <w:t xml:space="preserve">Серед них чоловіків </w:t>
            </w:r>
          </w:p>
        </w:tc>
        <w:tc>
          <w:tcPr>
            <w:tcW w:w="1448" w:type="dxa"/>
          </w:tcPr>
          <w:p w14:paraId="5A362313">
            <w:pPr>
              <w:pStyle w:val="7"/>
            </w:pPr>
            <w:r>
              <w:t xml:space="preserve">%, чоловіків </w:t>
            </w:r>
          </w:p>
        </w:tc>
      </w:tr>
      <w:tr w14:paraId="1B9BB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28F4F536">
            <w:pPr>
              <w:pStyle w:val="7"/>
            </w:pPr>
            <w:r>
              <w:t xml:space="preserve">Бишкінський СО </w:t>
            </w:r>
          </w:p>
        </w:tc>
        <w:tc>
          <w:tcPr>
            <w:tcW w:w="0" w:type="auto"/>
          </w:tcPr>
          <w:p w14:paraId="63CDABF5">
            <w:pPr>
              <w:pStyle w:val="7"/>
            </w:pPr>
            <w:r>
              <w:t xml:space="preserve">706 </w:t>
            </w:r>
          </w:p>
        </w:tc>
        <w:tc>
          <w:tcPr>
            <w:tcW w:w="0" w:type="auto"/>
          </w:tcPr>
          <w:p w14:paraId="786583F4">
            <w:pPr>
              <w:pStyle w:val="7"/>
            </w:pPr>
            <w:r>
              <w:t xml:space="preserve">356 </w:t>
            </w:r>
          </w:p>
        </w:tc>
        <w:tc>
          <w:tcPr>
            <w:tcW w:w="0" w:type="auto"/>
          </w:tcPr>
          <w:p w14:paraId="46264691">
            <w:pPr>
              <w:pStyle w:val="7"/>
            </w:pPr>
            <w:r>
              <w:t xml:space="preserve">50% </w:t>
            </w:r>
          </w:p>
        </w:tc>
        <w:tc>
          <w:tcPr>
            <w:tcW w:w="0" w:type="auto"/>
          </w:tcPr>
          <w:p w14:paraId="6F0DBAC0">
            <w:pPr>
              <w:pStyle w:val="7"/>
            </w:pPr>
            <w:r>
              <w:t xml:space="preserve">350 </w:t>
            </w:r>
          </w:p>
        </w:tc>
        <w:tc>
          <w:tcPr>
            <w:tcW w:w="0" w:type="auto"/>
          </w:tcPr>
          <w:p w14:paraId="1C5439E7">
            <w:pPr>
              <w:pStyle w:val="7"/>
            </w:pPr>
            <w:r>
              <w:t xml:space="preserve">50% </w:t>
            </w:r>
          </w:p>
        </w:tc>
      </w:tr>
      <w:tr w14:paraId="3331B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5DC7261A">
            <w:pPr>
              <w:pStyle w:val="7"/>
            </w:pPr>
            <w:r>
              <w:t xml:space="preserve">Боровеньківський СО </w:t>
            </w:r>
          </w:p>
        </w:tc>
        <w:tc>
          <w:tcPr>
            <w:tcW w:w="0" w:type="auto"/>
          </w:tcPr>
          <w:p w14:paraId="248816F5">
            <w:pPr>
              <w:pStyle w:val="7"/>
            </w:pPr>
            <w:r>
              <w:t xml:space="preserve">400 </w:t>
            </w:r>
          </w:p>
        </w:tc>
        <w:tc>
          <w:tcPr>
            <w:tcW w:w="0" w:type="auto"/>
          </w:tcPr>
          <w:p w14:paraId="69F03D77">
            <w:pPr>
              <w:pStyle w:val="7"/>
            </w:pPr>
            <w:r>
              <w:t xml:space="preserve">204 </w:t>
            </w:r>
          </w:p>
        </w:tc>
        <w:tc>
          <w:tcPr>
            <w:tcW w:w="0" w:type="auto"/>
          </w:tcPr>
          <w:p w14:paraId="43A1E0C2">
            <w:pPr>
              <w:pStyle w:val="7"/>
            </w:pPr>
            <w:r>
              <w:t xml:space="preserve">51% </w:t>
            </w:r>
          </w:p>
        </w:tc>
        <w:tc>
          <w:tcPr>
            <w:tcW w:w="0" w:type="auto"/>
          </w:tcPr>
          <w:p w14:paraId="0848A257">
            <w:pPr>
              <w:pStyle w:val="7"/>
            </w:pPr>
            <w:r>
              <w:t xml:space="preserve">196 </w:t>
            </w:r>
          </w:p>
        </w:tc>
        <w:tc>
          <w:tcPr>
            <w:tcW w:w="0" w:type="auto"/>
          </w:tcPr>
          <w:p w14:paraId="14050C1F">
            <w:pPr>
              <w:pStyle w:val="7"/>
            </w:pPr>
            <w:r>
              <w:t xml:space="preserve">49% </w:t>
            </w:r>
          </w:p>
        </w:tc>
      </w:tr>
      <w:tr w14:paraId="3DE87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05A1F597">
            <w:pPr>
              <w:pStyle w:val="7"/>
            </w:pPr>
            <w:r>
              <w:t xml:space="preserve">Будильський СО </w:t>
            </w:r>
          </w:p>
        </w:tc>
        <w:tc>
          <w:tcPr>
            <w:tcW w:w="0" w:type="auto"/>
          </w:tcPr>
          <w:p w14:paraId="028F0B0B">
            <w:pPr>
              <w:pStyle w:val="7"/>
            </w:pPr>
            <w:r>
              <w:t xml:space="preserve">1 863 </w:t>
            </w:r>
          </w:p>
        </w:tc>
        <w:tc>
          <w:tcPr>
            <w:tcW w:w="0" w:type="auto"/>
          </w:tcPr>
          <w:p w14:paraId="21A7D151">
            <w:pPr>
              <w:pStyle w:val="7"/>
            </w:pPr>
            <w:r>
              <w:t xml:space="preserve">1 013 </w:t>
            </w:r>
          </w:p>
        </w:tc>
        <w:tc>
          <w:tcPr>
            <w:tcW w:w="0" w:type="auto"/>
          </w:tcPr>
          <w:p w14:paraId="7251430E">
            <w:pPr>
              <w:pStyle w:val="7"/>
            </w:pPr>
            <w:r>
              <w:t xml:space="preserve">54% </w:t>
            </w:r>
          </w:p>
        </w:tc>
        <w:tc>
          <w:tcPr>
            <w:tcW w:w="0" w:type="auto"/>
          </w:tcPr>
          <w:p w14:paraId="6D526B13">
            <w:pPr>
              <w:pStyle w:val="7"/>
            </w:pPr>
            <w:r>
              <w:t xml:space="preserve">850 </w:t>
            </w:r>
          </w:p>
        </w:tc>
        <w:tc>
          <w:tcPr>
            <w:tcW w:w="0" w:type="auto"/>
          </w:tcPr>
          <w:p w14:paraId="1AF5E5B7">
            <w:pPr>
              <w:pStyle w:val="7"/>
            </w:pPr>
            <w:r>
              <w:t xml:space="preserve">46% </w:t>
            </w:r>
          </w:p>
        </w:tc>
      </w:tr>
      <w:tr w14:paraId="7AB5A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5D3E0A38">
            <w:pPr>
              <w:pStyle w:val="7"/>
            </w:pPr>
            <w:r>
              <w:t xml:space="preserve">Василівський СО </w:t>
            </w:r>
          </w:p>
        </w:tc>
        <w:tc>
          <w:tcPr>
            <w:tcW w:w="0" w:type="auto"/>
          </w:tcPr>
          <w:p w14:paraId="7DDDC02A">
            <w:pPr>
              <w:pStyle w:val="7"/>
            </w:pPr>
            <w:r>
              <w:t xml:space="preserve">1 014 </w:t>
            </w:r>
          </w:p>
        </w:tc>
        <w:tc>
          <w:tcPr>
            <w:tcW w:w="0" w:type="auto"/>
          </w:tcPr>
          <w:p w14:paraId="038DD6D4">
            <w:pPr>
              <w:pStyle w:val="7"/>
            </w:pPr>
            <w:r>
              <w:t xml:space="preserve">523 </w:t>
            </w:r>
          </w:p>
        </w:tc>
        <w:tc>
          <w:tcPr>
            <w:tcW w:w="0" w:type="auto"/>
          </w:tcPr>
          <w:p w14:paraId="60CE6B55">
            <w:pPr>
              <w:pStyle w:val="7"/>
            </w:pPr>
            <w:r>
              <w:t xml:space="preserve">52% </w:t>
            </w:r>
          </w:p>
        </w:tc>
        <w:tc>
          <w:tcPr>
            <w:tcW w:w="0" w:type="auto"/>
          </w:tcPr>
          <w:p w14:paraId="5CE2B383">
            <w:pPr>
              <w:pStyle w:val="7"/>
            </w:pPr>
            <w:r>
              <w:t xml:space="preserve">491 </w:t>
            </w:r>
          </w:p>
        </w:tc>
        <w:tc>
          <w:tcPr>
            <w:tcW w:w="0" w:type="auto"/>
          </w:tcPr>
          <w:p w14:paraId="72ED5FBE">
            <w:pPr>
              <w:pStyle w:val="7"/>
            </w:pPr>
            <w:r>
              <w:t xml:space="preserve">48% </w:t>
            </w:r>
          </w:p>
        </w:tc>
      </w:tr>
      <w:tr w14:paraId="4E8E3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1102324B">
            <w:pPr>
              <w:pStyle w:val="7"/>
            </w:pPr>
            <w:r>
              <w:t xml:space="preserve">Великовисторопський СО </w:t>
            </w:r>
          </w:p>
        </w:tc>
        <w:tc>
          <w:tcPr>
            <w:tcW w:w="0" w:type="auto"/>
          </w:tcPr>
          <w:p w14:paraId="1CB41D1D">
            <w:pPr>
              <w:pStyle w:val="7"/>
            </w:pPr>
            <w:r>
              <w:t xml:space="preserve">548 </w:t>
            </w:r>
          </w:p>
        </w:tc>
        <w:tc>
          <w:tcPr>
            <w:tcW w:w="0" w:type="auto"/>
          </w:tcPr>
          <w:p w14:paraId="1B47699D">
            <w:pPr>
              <w:pStyle w:val="7"/>
            </w:pPr>
            <w:r>
              <w:t xml:space="preserve">288 </w:t>
            </w:r>
          </w:p>
        </w:tc>
        <w:tc>
          <w:tcPr>
            <w:tcW w:w="0" w:type="auto"/>
          </w:tcPr>
          <w:p w14:paraId="203BBBF1">
            <w:pPr>
              <w:pStyle w:val="7"/>
            </w:pPr>
            <w:r>
              <w:t xml:space="preserve">53% </w:t>
            </w:r>
          </w:p>
        </w:tc>
        <w:tc>
          <w:tcPr>
            <w:tcW w:w="0" w:type="auto"/>
          </w:tcPr>
          <w:p w14:paraId="2ECFA7F5">
            <w:pPr>
              <w:pStyle w:val="7"/>
            </w:pPr>
            <w:r>
              <w:t xml:space="preserve">260 </w:t>
            </w:r>
          </w:p>
        </w:tc>
        <w:tc>
          <w:tcPr>
            <w:tcW w:w="0" w:type="auto"/>
          </w:tcPr>
          <w:p w14:paraId="42C97192">
            <w:pPr>
              <w:pStyle w:val="7"/>
            </w:pPr>
            <w:r>
              <w:t xml:space="preserve">47% </w:t>
            </w:r>
          </w:p>
        </w:tc>
      </w:tr>
      <w:tr w14:paraId="12061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6D580F70">
            <w:pPr>
              <w:pStyle w:val="7"/>
            </w:pPr>
            <w:r>
              <w:t xml:space="preserve">Ворожбянський СО </w:t>
            </w:r>
          </w:p>
        </w:tc>
        <w:tc>
          <w:tcPr>
            <w:tcW w:w="0" w:type="auto"/>
          </w:tcPr>
          <w:p w14:paraId="61CC243E">
            <w:pPr>
              <w:pStyle w:val="7"/>
            </w:pPr>
            <w:r>
              <w:t xml:space="preserve">1 275 </w:t>
            </w:r>
          </w:p>
        </w:tc>
        <w:tc>
          <w:tcPr>
            <w:tcW w:w="0" w:type="auto"/>
          </w:tcPr>
          <w:p w14:paraId="261FE0E2">
            <w:pPr>
              <w:pStyle w:val="7"/>
            </w:pPr>
            <w:r>
              <w:t xml:space="preserve">627 </w:t>
            </w:r>
          </w:p>
        </w:tc>
        <w:tc>
          <w:tcPr>
            <w:tcW w:w="0" w:type="auto"/>
          </w:tcPr>
          <w:p w14:paraId="2AEEC609">
            <w:pPr>
              <w:pStyle w:val="7"/>
            </w:pPr>
            <w:r>
              <w:t xml:space="preserve">49% </w:t>
            </w:r>
          </w:p>
        </w:tc>
        <w:tc>
          <w:tcPr>
            <w:tcW w:w="0" w:type="auto"/>
          </w:tcPr>
          <w:p w14:paraId="483AB4AB">
            <w:pPr>
              <w:pStyle w:val="7"/>
            </w:pPr>
            <w:r>
              <w:t xml:space="preserve">648 </w:t>
            </w:r>
          </w:p>
        </w:tc>
        <w:tc>
          <w:tcPr>
            <w:tcW w:w="0" w:type="auto"/>
          </w:tcPr>
          <w:p w14:paraId="77C5CB7D">
            <w:pPr>
              <w:pStyle w:val="7"/>
            </w:pPr>
            <w:r>
              <w:t xml:space="preserve">51% </w:t>
            </w:r>
          </w:p>
        </w:tc>
      </w:tr>
      <w:tr w14:paraId="43B77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7B30273E">
            <w:pPr>
              <w:pStyle w:val="7"/>
            </w:pPr>
            <w:r>
              <w:t xml:space="preserve">Гарбузівський СО </w:t>
            </w:r>
          </w:p>
        </w:tc>
        <w:tc>
          <w:tcPr>
            <w:tcW w:w="0" w:type="auto"/>
          </w:tcPr>
          <w:p w14:paraId="2FFBBA6A">
            <w:pPr>
              <w:pStyle w:val="7"/>
            </w:pPr>
            <w:r>
              <w:t xml:space="preserve">251 </w:t>
            </w:r>
          </w:p>
        </w:tc>
        <w:tc>
          <w:tcPr>
            <w:tcW w:w="0" w:type="auto"/>
          </w:tcPr>
          <w:p w14:paraId="79C617EB">
            <w:pPr>
              <w:pStyle w:val="7"/>
            </w:pPr>
            <w:r>
              <w:t xml:space="preserve">137 </w:t>
            </w:r>
          </w:p>
        </w:tc>
        <w:tc>
          <w:tcPr>
            <w:tcW w:w="0" w:type="auto"/>
          </w:tcPr>
          <w:p w14:paraId="539AC9F3">
            <w:pPr>
              <w:pStyle w:val="7"/>
            </w:pPr>
            <w:r>
              <w:t xml:space="preserve">55% </w:t>
            </w:r>
          </w:p>
        </w:tc>
        <w:tc>
          <w:tcPr>
            <w:tcW w:w="0" w:type="auto"/>
          </w:tcPr>
          <w:p w14:paraId="12554DB1">
            <w:pPr>
              <w:pStyle w:val="7"/>
            </w:pPr>
            <w:r>
              <w:t xml:space="preserve">114 </w:t>
            </w:r>
          </w:p>
        </w:tc>
        <w:tc>
          <w:tcPr>
            <w:tcW w:w="0" w:type="auto"/>
          </w:tcPr>
          <w:p w14:paraId="556AEBEB">
            <w:pPr>
              <w:pStyle w:val="7"/>
            </w:pPr>
            <w:r>
              <w:t xml:space="preserve">45% </w:t>
            </w:r>
          </w:p>
        </w:tc>
      </w:tr>
      <w:tr w14:paraId="6352E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0FCE4B0B">
            <w:pPr>
              <w:pStyle w:val="7"/>
            </w:pPr>
            <w:r>
              <w:t xml:space="preserve">Гринцівський СО </w:t>
            </w:r>
          </w:p>
        </w:tc>
        <w:tc>
          <w:tcPr>
            <w:tcW w:w="0" w:type="auto"/>
          </w:tcPr>
          <w:p w14:paraId="43C5EBE2">
            <w:pPr>
              <w:pStyle w:val="7"/>
            </w:pPr>
            <w:r>
              <w:t xml:space="preserve">597 </w:t>
            </w:r>
          </w:p>
        </w:tc>
        <w:tc>
          <w:tcPr>
            <w:tcW w:w="0" w:type="auto"/>
          </w:tcPr>
          <w:p w14:paraId="3F021A78">
            <w:pPr>
              <w:pStyle w:val="7"/>
            </w:pPr>
            <w:r>
              <w:t xml:space="preserve">316 </w:t>
            </w:r>
          </w:p>
        </w:tc>
        <w:tc>
          <w:tcPr>
            <w:tcW w:w="0" w:type="auto"/>
          </w:tcPr>
          <w:p w14:paraId="61A5ADFC">
            <w:pPr>
              <w:pStyle w:val="7"/>
            </w:pPr>
            <w:r>
              <w:t xml:space="preserve">53% </w:t>
            </w:r>
          </w:p>
        </w:tc>
        <w:tc>
          <w:tcPr>
            <w:tcW w:w="0" w:type="auto"/>
          </w:tcPr>
          <w:p w14:paraId="3C1A7DFD">
            <w:pPr>
              <w:pStyle w:val="7"/>
            </w:pPr>
            <w:r>
              <w:t xml:space="preserve">281 </w:t>
            </w:r>
          </w:p>
        </w:tc>
        <w:tc>
          <w:tcPr>
            <w:tcW w:w="0" w:type="auto"/>
          </w:tcPr>
          <w:p w14:paraId="7F962B96">
            <w:pPr>
              <w:pStyle w:val="7"/>
            </w:pPr>
            <w:r>
              <w:t xml:space="preserve">47% </w:t>
            </w:r>
          </w:p>
        </w:tc>
      </w:tr>
      <w:tr w14:paraId="34240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3F71C93D">
            <w:pPr>
              <w:pStyle w:val="7"/>
            </w:pPr>
            <w:r>
              <w:t xml:space="preserve">Калюжненський СО </w:t>
            </w:r>
          </w:p>
        </w:tc>
        <w:tc>
          <w:tcPr>
            <w:tcW w:w="0" w:type="auto"/>
          </w:tcPr>
          <w:p w14:paraId="4925E5D3">
            <w:pPr>
              <w:pStyle w:val="7"/>
            </w:pPr>
            <w:r>
              <w:t xml:space="preserve">287 </w:t>
            </w:r>
          </w:p>
        </w:tc>
        <w:tc>
          <w:tcPr>
            <w:tcW w:w="0" w:type="auto"/>
          </w:tcPr>
          <w:p w14:paraId="5BEC4BEA">
            <w:pPr>
              <w:pStyle w:val="7"/>
            </w:pPr>
            <w:r>
              <w:t xml:space="preserve">141 </w:t>
            </w:r>
          </w:p>
        </w:tc>
        <w:tc>
          <w:tcPr>
            <w:tcW w:w="0" w:type="auto"/>
          </w:tcPr>
          <w:p w14:paraId="68716A59">
            <w:pPr>
              <w:pStyle w:val="7"/>
            </w:pPr>
            <w:r>
              <w:t xml:space="preserve">49% </w:t>
            </w:r>
          </w:p>
        </w:tc>
        <w:tc>
          <w:tcPr>
            <w:tcW w:w="0" w:type="auto"/>
          </w:tcPr>
          <w:p w14:paraId="5655125F">
            <w:pPr>
              <w:pStyle w:val="7"/>
            </w:pPr>
            <w:r>
              <w:t xml:space="preserve">146 </w:t>
            </w:r>
          </w:p>
        </w:tc>
        <w:tc>
          <w:tcPr>
            <w:tcW w:w="0" w:type="auto"/>
          </w:tcPr>
          <w:p w14:paraId="597B32B9">
            <w:pPr>
              <w:pStyle w:val="7"/>
            </w:pPr>
            <w:r>
              <w:t xml:space="preserve">51% </w:t>
            </w:r>
          </w:p>
        </w:tc>
      </w:tr>
      <w:tr w14:paraId="3B5CB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0E8AF00C">
            <w:pPr>
              <w:pStyle w:val="7"/>
            </w:pPr>
            <w:r>
              <w:t xml:space="preserve">Кам’янський СО </w:t>
            </w:r>
          </w:p>
        </w:tc>
        <w:tc>
          <w:tcPr>
            <w:tcW w:w="0" w:type="auto"/>
          </w:tcPr>
          <w:p w14:paraId="135398E6">
            <w:pPr>
              <w:pStyle w:val="7"/>
            </w:pPr>
            <w:r>
              <w:t xml:space="preserve">427 </w:t>
            </w:r>
          </w:p>
        </w:tc>
        <w:tc>
          <w:tcPr>
            <w:tcW w:w="0" w:type="auto"/>
          </w:tcPr>
          <w:p w14:paraId="0C5ED5A7">
            <w:pPr>
              <w:pStyle w:val="7"/>
            </w:pPr>
            <w:r>
              <w:t xml:space="preserve">214 </w:t>
            </w:r>
          </w:p>
        </w:tc>
        <w:tc>
          <w:tcPr>
            <w:tcW w:w="0" w:type="auto"/>
          </w:tcPr>
          <w:p w14:paraId="0941C7B6">
            <w:pPr>
              <w:pStyle w:val="7"/>
            </w:pPr>
            <w:r>
              <w:t xml:space="preserve">50% </w:t>
            </w:r>
          </w:p>
        </w:tc>
        <w:tc>
          <w:tcPr>
            <w:tcW w:w="0" w:type="auto"/>
          </w:tcPr>
          <w:p w14:paraId="3D732833">
            <w:pPr>
              <w:pStyle w:val="7"/>
            </w:pPr>
            <w:r>
              <w:t xml:space="preserve">213 </w:t>
            </w:r>
          </w:p>
        </w:tc>
        <w:tc>
          <w:tcPr>
            <w:tcW w:w="0" w:type="auto"/>
          </w:tcPr>
          <w:p w14:paraId="063EFB4B">
            <w:pPr>
              <w:pStyle w:val="7"/>
            </w:pPr>
            <w:r>
              <w:t xml:space="preserve">50% </w:t>
            </w:r>
          </w:p>
        </w:tc>
      </w:tr>
      <w:tr w14:paraId="7509D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19D21AB3">
            <w:pPr>
              <w:pStyle w:val="7"/>
            </w:pPr>
            <w:r>
              <w:t xml:space="preserve">Катеринівський СО </w:t>
            </w:r>
          </w:p>
        </w:tc>
        <w:tc>
          <w:tcPr>
            <w:tcW w:w="0" w:type="auto"/>
          </w:tcPr>
          <w:p w14:paraId="701D1BE2">
            <w:pPr>
              <w:pStyle w:val="7"/>
            </w:pPr>
            <w:r>
              <w:t xml:space="preserve">284 </w:t>
            </w:r>
          </w:p>
        </w:tc>
        <w:tc>
          <w:tcPr>
            <w:tcW w:w="0" w:type="auto"/>
          </w:tcPr>
          <w:p w14:paraId="54E84F99">
            <w:pPr>
              <w:pStyle w:val="7"/>
            </w:pPr>
            <w:r>
              <w:t xml:space="preserve">154 </w:t>
            </w:r>
          </w:p>
        </w:tc>
        <w:tc>
          <w:tcPr>
            <w:tcW w:w="0" w:type="auto"/>
          </w:tcPr>
          <w:p w14:paraId="4CF4A8F5">
            <w:pPr>
              <w:pStyle w:val="7"/>
            </w:pPr>
            <w:r>
              <w:t xml:space="preserve">54% </w:t>
            </w:r>
          </w:p>
        </w:tc>
        <w:tc>
          <w:tcPr>
            <w:tcW w:w="0" w:type="auto"/>
          </w:tcPr>
          <w:p w14:paraId="07C97773">
            <w:pPr>
              <w:pStyle w:val="7"/>
            </w:pPr>
            <w:r>
              <w:t xml:space="preserve">130 </w:t>
            </w:r>
          </w:p>
        </w:tc>
        <w:tc>
          <w:tcPr>
            <w:tcW w:w="0" w:type="auto"/>
          </w:tcPr>
          <w:p w14:paraId="6AAD6411">
            <w:pPr>
              <w:pStyle w:val="7"/>
            </w:pPr>
            <w:r>
              <w:t xml:space="preserve">46% </w:t>
            </w:r>
          </w:p>
        </w:tc>
      </w:tr>
      <w:tr w14:paraId="5E4E5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5AA4C224">
            <w:pPr>
              <w:pStyle w:val="7"/>
            </w:pPr>
            <w:r>
              <w:t xml:space="preserve">Курганський СО </w:t>
            </w:r>
          </w:p>
        </w:tc>
        <w:tc>
          <w:tcPr>
            <w:tcW w:w="0" w:type="auto"/>
          </w:tcPr>
          <w:p w14:paraId="29C9B999">
            <w:pPr>
              <w:pStyle w:val="7"/>
            </w:pPr>
            <w:r>
              <w:t xml:space="preserve">272 </w:t>
            </w:r>
          </w:p>
        </w:tc>
        <w:tc>
          <w:tcPr>
            <w:tcW w:w="0" w:type="auto"/>
          </w:tcPr>
          <w:p w14:paraId="1C213AF3">
            <w:pPr>
              <w:pStyle w:val="7"/>
            </w:pPr>
            <w:r>
              <w:t xml:space="preserve">161 </w:t>
            </w:r>
          </w:p>
        </w:tc>
        <w:tc>
          <w:tcPr>
            <w:tcW w:w="0" w:type="auto"/>
          </w:tcPr>
          <w:p w14:paraId="0074A660">
            <w:pPr>
              <w:pStyle w:val="7"/>
            </w:pPr>
            <w:r>
              <w:t xml:space="preserve">59% </w:t>
            </w:r>
          </w:p>
        </w:tc>
        <w:tc>
          <w:tcPr>
            <w:tcW w:w="0" w:type="auto"/>
          </w:tcPr>
          <w:p w14:paraId="17DBBC76">
            <w:pPr>
              <w:pStyle w:val="7"/>
            </w:pPr>
            <w:r>
              <w:t xml:space="preserve">111 </w:t>
            </w:r>
          </w:p>
        </w:tc>
        <w:tc>
          <w:tcPr>
            <w:tcW w:w="0" w:type="auto"/>
          </w:tcPr>
          <w:p w14:paraId="772EC6C4">
            <w:pPr>
              <w:pStyle w:val="7"/>
            </w:pPr>
            <w:r>
              <w:t xml:space="preserve">41% </w:t>
            </w:r>
          </w:p>
        </w:tc>
      </w:tr>
      <w:tr w14:paraId="53B52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6100D91E">
            <w:pPr>
              <w:pStyle w:val="7"/>
            </w:pPr>
            <w:r>
              <w:t xml:space="preserve">Маловисторопський СО </w:t>
            </w:r>
          </w:p>
        </w:tc>
        <w:tc>
          <w:tcPr>
            <w:tcW w:w="0" w:type="auto"/>
          </w:tcPr>
          <w:p w14:paraId="736F7257">
            <w:pPr>
              <w:pStyle w:val="7"/>
            </w:pPr>
            <w:r>
              <w:t xml:space="preserve">883 </w:t>
            </w:r>
          </w:p>
        </w:tc>
        <w:tc>
          <w:tcPr>
            <w:tcW w:w="0" w:type="auto"/>
          </w:tcPr>
          <w:p w14:paraId="6D657440">
            <w:pPr>
              <w:pStyle w:val="7"/>
            </w:pPr>
            <w:r>
              <w:t xml:space="preserve">444 </w:t>
            </w:r>
          </w:p>
        </w:tc>
        <w:tc>
          <w:tcPr>
            <w:tcW w:w="0" w:type="auto"/>
          </w:tcPr>
          <w:p w14:paraId="5266D1A1">
            <w:pPr>
              <w:pStyle w:val="7"/>
            </w:pPr>
            <w:r>
              <w:t xml:space="preserve">50% </w:t>
            </w:r>
          </w:p>
        </w:tc>
        <w:tc>
          <w:tcPr>
            <w:tcW w:w="0" w:type="auto"/>
          </w:tcPr>
          <w:p w14:paraId="6878A99B">
            <w:pPr>
              <w:pStyle w:val="7"/>
            </w:pPr>
            <w:r>
              <w:t xml:space="preserve">439 </w:t>
            </w:r>
          </w:p>
        </w:tc>
        <w:tc>
          <w:tcPr>
            <w:tcW w:w="0" w:type="auto"/>
          </w:tcPr>
          <w:p w14:paraId="31FAE851">
            <w:pPr>
              <w:pStyle w:val="7"/>
            </w:pPr>
            <w:r>
              <w:t xml:space="preserve">50% </w:t>
            </w:r>
          </w:p>
        </w:tc>
      </w:tr>
      <w:tr w14:paraId="0DA6F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342C2F2C">
            <w:pPr>
              <w:pStyle w:val="7"/>
            </w:pPr>
            <w:r>
              <w:t xml:space="preserve">Межиріцький СО </w:t>
            </w:r>
          </w:p>
        </w:tc>
        <w:tc>
          <w:tcPr>
            <w:tcW w:w="0" w:type="auto"/>
          </w:tcPr>
          <w:p w14:paraId="7F6C4747">
            <w:pPr>
              <w:pStyle w:val="7"/>
            </w:pPr>
            <w:r>
              <w:t xml:space="preserve">930 </w:t>
            </w:r>
          </w:p>
        </w:tc>
        <w:tc>
          <w:tcPr>
            <w:tcW w:w="0" w:type="auto"/>
          </w:tcPr>
          <w:p w14:paraId="6DFB5FB2">
            <w:pPr>
              <w:pStyle w:val="7"/>
            </w:pPr>
            <w:r>
              <w:t xml:space="preserve">497 </w:t>
            </w:r>
          </w:p>
        </w:tc>
        <w:tc>
          <w:tcPr>
            <w:tcW w:w="0" w:type="auto"/>
          </w:tcPr>
          <w:p w14:paraId="7F0F101C">
            <w:pPr>
              <w:pStyle w:val="7"/>
            </w:pPr>
            <w:r>
              <w:t xml:space="preserve">53% </w:t>
            </w:r>
          </w:p>
        </w:tc>
        <w:tc>
          <w:tcPr>
            <w:tcW w:w="0" w:type="auto"/>
          </w:tcPr>
          <w:p w14:paraId="5DEE7C5A">
            <w:pPr>
              <w:pStyle w:val="7"/>
            </w:pPr>
            <w:r>
              <w:t xml:space="preserve">433 </w:t>
            </w:r>
          </w:p>
        </w:tc>
        <w:tc>
          <w:tcPr>
            <w:tcW w:w="0" w:type="auto"/>
          </w:tcPr>
          <w:p w14:paraId="6627CC10">
            <w:pPr>
              <w:pStyle w:val="7"/>
            </w:pPr>
            <w:r>
              <w:t xml:space="preserve">47% </w:t>
            </w:r>
          </w:p>
        </w:tc>
      </w:tr>
      <w:tr w14:paraId="5576F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2EF25AD8">
            <w:pPr>
              <w:pStyle w:val="7"/>
            </w:pPr>
            <w:r>
              <w:t xml:space="preserve">Михайлівський СО </w:t>
            </w:r>
          </w:p>
        </w:tc>
        <w:tc>
          <w:tcPr>
            <w:tcW w:w="0" w:type="auto"/>
          </w:tcPr>
          <w:p w14:paraId="68621D8C">
            <w:pPr>
              <w:pStyle w:val="7"/>
            </w:pPr>
            <w:r>
              <w:t xml:space="preserve">855 </w:t>
            </w:r>
          </w:p>
        </w:tc>
        <w:tc>
          <w:tcPr>
            <w:tcW w:w="0" w:type="auto"/>
          </w:tcPr>
          <w:p w14:paraId="3EAE2DC7">
            <w:pPr>
              <w:pStyle w:val="7"/>
            </w:pPr>
            <w:r>
              <w:t xml:space="preserve">470 </w:t>
            </w:r>
          </w:p>
        </w:tc>
        <w:tc>
          <w:tcPr>
            <w:tcW w:w="0" w:type="auto"/>
          </w:tcPr>
          <w:p w14:paraId="702053D9">
            <w:pPr>
              <w:pStyle w:val="7"/>
            </w:pPr>
            <w:r>
              <w:t xml:space="preserve">55% </w:t>
            </w:r>
          </w:p>
        </w:tc>
        <w:tc>
          <w:tcPr>
            <w:tcW w:w="0" w:type="auto"/>
          </w:tcPr>
          <w:p w14:paraId="3B573E14">
            <w:pPr>
              <w:pStyle w:val="7"/>
            </w:pPr>
            <w:r>
              <w:t xml:space="preserve">385 </w:t>
            </w:r>
          </w:p>
        </w:tc>
        <w:tc>
          <w:tcPr>
            <w:tcW w:w="0" w:type="auto"/>
          </w:tcPr>
          <w:p w14:paraId="7E9943F9">
            <w:pPr>
              <w:pStyle w:val="7"/>
            </w:pPr>
            <w:r>
              <w:t xml:space="preserve">45% </w:t>
            </w:r>
          </w:p>
        </w:tc>
      </w:tr>
      <w:tr w14:paraId="0EA19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75C736E7">
            <w:pPr>
              <w:pStyle w:val="7"/>
            </w:pPr>
            <w:r>
              <w:t xml:space="preserve">Московськобобрицький СО </w:t>
            </w:r>
          </w:p>
        </w:tc>
        <w:tc>
          <w:tcPr>
            <w:tcW w:w="0" w:type="auto"/>
          </w:tcPr>
          <w:p w14:paraId="489691DC">
            <w:pPr>
              <w:pStyle w:val="7"/>
            </w:pPr>
            <w:r>
              <w:t xml:space="preserve">620 </w:t>
            </w:r>
          </w:p>
        </w:tc>
        <w:tc>
          <w:tcPr>
            <w:tcW w:w="0" w:type="auto"/>
          </w:tcPr>
          <w:p w14:paraId="6DEA17C5">
            <w:pPr>
              <w:pStyle w:val="7"/>
            </w:pPr>
            <w:r>
              <w:t xml:space="preserve">321 </w:t>
            </w:r>
          </w:p>
        </w:tc>
        <w:tc>
          <w:tcPr>
            <w:tcW w:w="0" w:type="auto"/>
          </w:tcPr>
          <w:p w14:paraId="3122FFDE">
            <w:pPr>
              <w:pStyle w:val="7"/>
            </w:pPr>
            <w:r>
              <w:t xml:space="preserve">52% </w:t>
            </w:r>
          </w:p>
        </w:tc>
        <w:tc>
          <w:tcPr>
            <w:tcW w:w="0" w:type="auto"/>
          </w:tcPr>
          <w:p w14:paraId="7497A04B">
            <w:pPr>
              <w:pStyle w:val="7"/>
            </w:pPr>
            <w:r>
              <w:t xml:space="preserve">299 </w:t>
            </w:r>
          </w:p>
        </w:tc>
        <w:tc>
          <w:tcPr>
            <w:tcW w:w="0" w:type="auto"/>
          </w:tcPr>
          <w:p w14:paraId="3728EC8F">
            <w:pPr>
              <w:pStyle w:val="7"/>
            </w:pPr>
            <w:r>
              <w:t xml:space="preserve">48% </w:t>
            </w:r>
          </w:p>
        </w:tc>
      </w:tr>
      <w:tr w14:paraId="24272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4D2D12E8">
            <w:pPr>
              <w:pStyle w:val="7"/>
            </w:pPr>
            <w:r>
              <w:t xml:space="preserve">Павленківський СО </w:t>
            </w:r>
          </w:p>
        </w:tc>
        <w:tc>
          <w:tcPr>
            <w:tcW w:w="0" w:type="auto"/>
          </w:tcPr>
          <w:p w14:paraId="30FA9302">
            <w:pPr>
              <w:pStyle w:val="7"/>
            </w:pPr>
            <w:r>
              <w:t xml:space="preserve">221 </w:t>
            </w:r>
          </w:p>
        </w:tc>
        <w:tc>
          <w:tcPr>
            <w:tcW w:w="0" w:type="auto"/>
          </w:tcPr>
          <w:p w14:paraId="092507AA">
            <w:pPr>
              <w:pStyle w:val="7"/>
            </w:pPr>
            <w:r>
              <w:t xml:space="preserve">115 </w:t>
            </w:r>
          </w:p>
        </w:tc>
        <w:tc>
          <w:tcPr>
            <w:tcW w:w="0" w:type="auto"/>
          </w:tcPr>
          <w:p w14:paraId="647186E1">
            <w:pPr>
              <w:pStyle w:val="7"/>
            </w:pPr>
            <w:r>
              <w:t xml:space="preserve">52% </w:t>
            </w:r>
          </w:p>
        </w:tc>
        <w:tc>
          <w:tcPr>
            <w:tcW w:w="0" w:type="auto"/>
          </w:tcPr>
          <w:p w14:paraId="1985C903">
            <w:pPr>
              <w:pStyle w:val="7"/>
            </w:pPr>
            <w:r>
              <w:t xml:space="preserve">106 </w:t>
            </w:r>
          </w:p>
        </w:tc>
        <w:tc>
          <w:tcPr>
            <w:tcW w:w="0" w:type="auto"/>
          </w:tcPr>
          <w:p w14:paraId="27F13261">
            <w:pPr>
              <w:pStyle w:val="7"/>
            </w:pPr>
            <w:r>
              <w:t xml:space="preserve">48% </w:t>
            </w:r>
          </w:p>
        </w:tc>
      </w:tr>
      <w:tr w14:paraId="50ABF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5BDB3FDE">
            <w:pPr>
              <w:pStyle w:val="7"/>
            </w:pPr>
            <w:r>
              <w:t xml:space="preserve">Пристайлівський СО </w:t>
            </w:r>
          </w:p>
        </w:tc>
        <w:tc>
          <w:tcPr>
            <w:tcW w:w="0" w:type="auto"/>
          </w:tcPr>
          <w:p w14:paraId="0DB311D6">
            <w:pPr>
              <w:pStyle w:val="7"/>
            </w:pPr>
            <w:r>
              <w:t xml:space="preserve">530 </w:t>
            </w:r>
          </w:p>
        </w:tc>
        <w:tc>
          <w:tcPr>
            <w:tcW w:w="0" w:type="auto"/>
          </w:tcPr>
          <w:p w14:paraId="5B482F13">
            <w:pPr>
              <w:pStyle w:val="7"/>
            </w:pPr>
            <w:r>
              <w:t xml:space="preserve">256 </w:t>
            </w:r>
          </w:p>
        </w:tc>
        <w:tc>
          <w:tcPr>
            <w:tcW w:w="0" w:type="auto"/>
          </w:tcPr>
          <w:p w14:paraId="070700C8">
            <w:pPr>
              <w:pStyle w:val="7"/>
            </w:pPr>
            <w:r>
              <w:t xml:space="preserve">48% </w:t>
            </w:r>
          </w:p>
        </w:tc>
        <w:tc>
          <w:tcPr>
            <w:tcW w:w="0" w:type="auto"/>
          </w:tcPr>
          <w:p w14:paraId="765923FA">
            <w:pPr>
              <w:pStyle w:val="7"/>
            </w:pPr>
            <w:r>
              <w:t xml:space="preserve">274 </w:t>
            </w:r>
          </w:p>
        </w:tc>
        <w:tc>
          <w:tcPr>
            <w:tcW w:w="0" w:type="auto"/>
          </w:tcPr>
          <w:p w14:paraId="561C0133">
            <w:pPr>
              <w:pStyle w:val="7"/>
            </w:pPr>
            <w:r>
              <w:t xml:space="preserve">52% </w:t>
            </w:r>
          </w:p>
        </w:tc>
      </w:tr>
      <w:tr w14:paraId="73D1E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70DFB94E">
            <w:pPr>
              <w:pStyle w:val="7"/>
            </w:pPr>
            <w:r>
              <w:t xml:space="preserve">Підопригорівський СО </w:t>
            </w:r>
          </w:p>
        </w:tc>
        <w:tc>
          <w:tcPr>
            <w:tcW w:w="0" w:type="auto"/>
          </w:tcPr>
          <w:p w14:paraId="49F8CF9A">
            <w:pPr>
              <w:pStyle w:val="7"/>
            </w:pPr>
            <w:r>
              <w:t xml:space="preserve">401 </w:t>
            </w:r>
          </w:p>
        </w:tc>
        <w:tc>
          <w:tcPr>
            <w:tcW w:w="0" w:type="auto"/>
          </w:tcPr>
          <w:p w14:paraId="6CDBA90E">
            <w:pPr>
              <w:pStyle w:val="7"/>
            </w:pPr>
            <w:r>
              <w:t xml:space="preserve">210 </w:t>
            </w:r>
          </w:p>
        </w:tc>
        <w:tc>
          <w:tcPr>
            <w:tcW w:w="0" w:type="auto"/>
          </w:tcPr>
          <w:p w14:paraId="756595B2">
            <w:pPr>
              <w:pStyle w:val="7"/>
            </w:pPr>
            <w:r>
              <w:t xml:space="preserve">52% </w:t>
            </w:r>
          </w:p>
        </w:tc>
        <w:tc>
          <w:tcPr>
            <w:tcW w:w="0" w:type="auto"/>
          </w:tcPr>
          <w:p w14:paraId="14307875">
            <w:pPr>
              <w:pStyle w:val="7"/>
            </w:pPr>
            <w:r>
              <w:t xml:space="preserve">191 </w:t>
            </w:r>
          </w:p>
        </w:tc>
        <w:tc>
          <w:tcPr>
            <w:tcW w:w="0" w:type="auto"/>
          </w:tcPr>
          <w:p w14:paraId="197053CC">
            <w:pPr>
              <w:pStyle w:val="7"/>
            </w:pPr>
            <w:r>
              <w:t xml:space="preserve">48% </w:t>
            </w:r>
          </w:p>
        </w:tc>
      </w:tr>
      <w:tr w14:paraId="545EA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19FA7FD9">
            <w:pPr>
              <w:pStyle w:val="7"/>
            </w:pPr>
            <w:r>
              <w:t xml:space="preserve">Рябушківський СО </w:t>
            </w:r>
          </w:p>
        </w:tc>
        <w:tc>
          <w:tcPr>
            <w:tcW w:w="0" w:type="auto"/>
          </w:tcPr>
          <w:p w14:paraId="1D96FC1A">
            <w:pPr>
              <w:pStyle w:val="7"/>
            </w:pPr>
            <w:r>
              <w:t xml:space="preserve">734 </w:t>
            </w:r>
          </w:p>
        </w:tc>
        <w:tc>
          <w:tcPr>
            <w:tcW w:w="0" w:type="auto"/>
          </w:tcPr>
          <w:p w14:paraId="791D1A6A">
            <w:pPr>
              <w:pStyle w:val="7"/>
            </w:pPr>
            <w:r>
              <w:t xml:space="preserve">379 </w:t>
            </w:r>
          </w:p>
        </w:tc>
        <w:tc>
          <w:tcPr>
            <w:tcW w:w="0" w:type="auto"/>
          </w:tcPr>
          <w:p w14:paraId="37FEF092">
            <w:pPr>
              <w:pStyle w:val="7"/>
            </w:pPr>
            <w:r>
              <w:t xml:space="preserve">52% </w:t>
            </w:r>
          </w:p>
        </w:tc>
        <w:tc>
          <w:tcPr>
            <w:tcW w:w="0" w:type="auto"/>
          </w:tcPr>
          <w:p w14:paraId="381296B6">
            <w:pPr>
              <w:pStyle w:val="7"/>
            </w:pPr>
            <w:r>
              <w:t xml:space="preserve">355 </w:t>
            </w:r>
          </w:p>
        </w:tc>
        <w:tc>
          <w:tcPr>
            <w:tcW w:w="0" w:type="auto"/>
          </w:tcPr>
          <w:p w14:paraId="367C49CF">
            <w:pPr>
              <w:pStyle w:val="7"/>
            </w:pPr>
            <w:r>
              <w:t xml:space="preserve">48% </w:t>
            </w:r>
          </w:p>
        </w:tc>
      </w:tr>
      <w:tr w14:paraId="6C616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3558890D">
            <w:pPr>
              <w:pStyle w:val="7"/>
            </w:pPr>
            <w:r>
              <w:t xml:space="preserve">Червленівський СО </w:t>
            </w:r>
          </w:p>
        </w:tc>
        <w:tc>
          <w:tcPr>
            <w:tcW w:w="0" w:type="auto"/>
          </w:tcPr>
          <w:p w14:paraId="08618915">
            <w:pPr>
              <w:pStyle w:val="7"/>
            </w:pPr>
            <w:r>
              <w:t xml:space="preserve">361 </w:t>
            </w:r>
          </w:p>
        </w:tc>
        <w:tc>
          <w:tcPr>
            <w:tcW w:w="0" w:type="auto"/>
          </w:tcPr>
          <w:p w14:paraId="6AF887C3">
            <w:pPr>
              <w:pStyle w:val="7"/>
            </w:pPr>
            <w:r>
              <w:t xml:space="preserve">181 </w:t>
            </w:r>
          </w:p>
        </w:tc>
        <w:tc>
          <w:tcPr>
            <w:tcW w:w="0" w:type="auto"/>
          </w:tcPr>
          <w:p w14:paraId="759042CF">
            <w:pPr>
              <w:pStyle w:val="7"/>
            </w:pPr>
            <w:r>
              <w:t xml:space="preserve">50% </w:t>
            </w:r>
          </w:p>
        </w:tc>
        <w:tc>
          <w:tcPr>
            <w:tcW w:w="0" w:type="auto"/>
          </w:tcPr>
          <w:p w14:paraId="4EA944AB">
            <w:pPr>
              <w:pStyle w:val="7"/>
            </w:pPr>
            <w:r>
              <w:t xml:space="preserve">181 </w:t>
            </w:r>
          </w:p>
        </w:tc>
        <w:tc>
          <w:tcPr>
            <w:tcW w:w="0" w:type="auto"/>
          </w:tcPr>
          <w:p w14:paraId="02985A57">
            <w:pPr>
              <w:pStyle w:val="7"/>
            </w:pPr>
            <w:r>
              <w:t xml:space="preserve">50% </w:t>
            </w:r>
          </w:p>
        </w:tc>
      </w:tr>
      <w:tr w14:paraId="06AE6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</w:tcPr>
          <w:p w14:paraId="0F7625C6">
            <w:pPr>
              <w:pStyle w:val="7"/>
            </w:pPr>
            <w:r>
              <w:t xml:space="preserve">Штепівський СО </w:t>
            </w:r>
          </w:p>
        </w:tc>
        <w:tc>
          <w:tcPr>
            <w:tcW w:w="0" w:type="auto"/>
          </w:tcPr>
          <w:p w14:paraId="132A298E">
            <w:pPr>
              <w:pStyle w:val="7"/>
            </w:pPr>
            <w:r>
              <w:t xml:space="preserve">738 </w:t>
            </w:r>
          </w:p>
        </w:tc>
        <w:tc>
          <w:tcPr>
            <w:tcW w:w="0" w:type="auto"/>
          </w:tcPr>
          <w:p w14:paraId="69D4A160">
            <w:pPr>
              <w:pStyle w:val="7"/>
            </w:pPr>
            <w:r>
              <w:t xml:space="preserve">416 </w:t>
            </w:r>
          </w:p>
        </w:tc>
        <w:tc>
          <w:tcPr>
            <w:tcW w:w="0" w:type="auto"/>
          </w:tcPr>
          <w:p w14:paraId="67249215">
            <w:pPr>
              <w:pStyle w:val="7"/>
            </w:pPr>
            <w:r>
              <w:t xml:space="preserve">56% </w:t>
            </w:r>
          </w:p>
        </w:tc>
        <w:tc>
          <w:tcPr>
            <w:tcW w:w="0" w:type="auto"/>
          </w:tcPr>
          <w:p w14:paraId="1403BEB9">
            <w:pPr>
              <w:pStyle w:val="7"/>
            </w:pPr>
            <w:r>
              <w:t xml:space="preserve">292 </w:t>
            </w:r>
          </w:p>
        </w:tc>
        <w:tc>
          <w:tcPr>
            <w:tcW w:w="0" w:type="auto"/>
          </w:tcPr>
          <w:p w14:paraId="381FB731">
            <w:pPr>
              <w:pStyle w:val="7"/>
            </w:pPr>
            <w:r>
              <w:t xml:space="preserve">44 </w:t>
            </w:r>
          </w:p>
        </w:tc>
      </w:tr>
    </w:tbl>
    <w:p w14:paraId="4B3E12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781A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Гендерний соціально-демографічний аналіз свідчить про: </w:t>
      </w:r>
    </w:p>
    <w:p w14:paraId="0EA4941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переважання міського, зокрема жіночого населення, натомість простежується від’ємна динаміка щодо кількості сільських жителів, особливо у віддалених від Лебедина селах; </w:t>
      </w:r>
    </w:p>
    <w:p w14:paraId="7326B8F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переважання чоловіків у віці від 0 до 44 років (від 6 до 10% у різних вікових групах); </w:t>
      </w:r>
    </w:p>
    <w:p w14:paraId="3C6C5C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переважання жінок у старших вікових групах (починаючи з 45 років – це 2-41% в розрізі вікових груп), що підтверджує гендерні розриви у тривалості життя жінок та чоловіків; </w:t>
      </w:r>
    </w:p>
    <w:p w14:paraId="4E8DEAD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переважання жінок у пенсійній віковій групі, особливо у селах (від 18 до 41 % у розрізі вікових груп 60 і старше); </w:t>
      </w:r>
    </w:p>
    <w:p w14:paraId="6E8EA7C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незначна частка дітей у віддалених сільських старостинських округах. </w:t>
      </w:r>
    </w:p>
    <w:p w14:paraId="2CDD15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 цілому тривожною виглядає тенденція «обезлюднення» сільських населених пунктів громади, що визначає ризики в контексті збереження та відновлення людського потенціалу громади, що є передумовою її розвитку.</w:t>
      </w:r>
    </w:p>
    <w:p w14:paraId="6C0A1A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Лебединська МТГ є сільськогосподарською територією. Тому значна кількість робочих місць має сезонний характер, на які залучаються вузькі спеціалісти (переважно чоловіки) та некваліфіковані низькооплачувані робітники. Незважаючи на велику кількість зареєстрованих промислових і сільськогосподарських підприємств, офіційно працевлаштована незначна частина людей. І надалі спостерігається тенденція до скорочення зайнятості. Основна кількість людей або зайняті в особистому підсобному господарстві, працюють в комунальній сфері, або виїхали на заробітки.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Доволі мала частка мешканців Лебединської МТГ працюють офіційно, а значить сплачують податки. За наявними даними працюють офіційно всього </w:t>
      </w:r>
      <w:r>
        <w:rPr>
          <w:rFonts w:ascii="Times New Roman" w:hAnsi="Times New Roman" w:cs="Times New Roman"/>
          <w:sz w:val="28"/>
          <w:szCs w:val="28"/>
          <w:lang w:val="uk-UA"/>
        </w:rPr>
        <w:t>3690</w:t>
      </w:r>
      <w:r>
        <w:rPr>
          <w:rFonts w:ascii="Times New Roman" w:hAnsi="Times New Roman" w:cs="Times New Roman"/>
          <w:sz w:val="28"/>
          <w:szCs w:val="28"/>
        </w:rPr>
        <w:t xml:space="preserve"> осіб, що складає </w:t>
      </w:r>
      <w:r>
        <w:rPr>
          <w:rFonts w:ascii="Times New Roman" w:hAnsi="Times New Roman" w:cs="Times New Roman"/>
          <w:sz w:val="28"/>
          <w:szCs w:val="28"/>
          <w:lang w:val="uk-UA"/>
        </w:rPr>
        <w:t>17%</w:t>
      </w:r>
      <w:r>
        <w:rPr>
          <w:rFonts w:ascii="Times New Roman" w:hAnsi="Times New Roman" w:cs="Times New Roman"/>
          <w:sz w:val="28"/>
          <w:szCs w:val="28"/>
        </w:rPr>
        <w:t xml:space="preserve"> працездатного населення громади.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EBE5B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14:paraId="403E81A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Характеристика вразливих груп населення, осіб/сімей, які перебувають у складних життєвих обставинах, стан охоплення соціальними послугами</w:t>
      </w:r>
    </w:p>
    <w:p w14:paraId="22005D5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E8EFD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і загалом по області, так і в Лебединській МТГ проживає значна кількість осіб пенсійного віку, які в силу низьких пенсій та складнощів життя в період війни, потребують уваги і допомоги з боку місцевої і центральної влади. У структурі населення Лебединської МТГ переважають особи передпенсійного та пенсійного віку, значна частка яких відносяться до вразливих груп.</w:t>
      </w:r>
      <w:r>
        <w:rPr>
          <w:rFonts w:ascii="Times New Roman" w:hAnsi="Times New Roman" w:cs="Times New Roman"/>
          <w:color w:val="000000"/>
          <w:sz w:val="23"/>
          <w:szCs w:val="23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Лебединській міській територіальній громаді налічується</w:t>
      </w:r>
    </w:p>
    <w:p w14:paraId="4F4CC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Осіб з інвалідністю – 2296;</w:t>
      </w:r>
    </w:p>
    <w:p w14:paraId="0A5E8D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Внутрішньо переміщених осіб – 3139</w:t>
      </w:r>
    </w:p>
    <w:p w14:paraId="5B92EC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Багатодітних сімей – 382</w:t>
      </w:r>
    </w:p>
    <w:p w14:paraId="537FDE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Одиноких матерів (батьків) - 192. </w:t>
      </w:r>
    </w:p>
    <w:p w14:paraId="21DB42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Через війну виокремилася особлива соціальна група – це жінки-військовослужбовці, вдови / діти, які втратили батьків, сім'ї загиблих / поранених / зниклих безвісти; ветерани / ветеранки війни. Значна частка з них виховують дітей самотужки. </w:t>
      </w:r>
    </w:p>
    <w:p w14:paraId="293DF4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Основними чинниками, що зумовлюють вразливість / складні життєві обставини  в територіальній громаді є похилий вік, інвалідність, малозабезпеченість, ухилення батьками або особами, які їх замінюють, від виконання своїх обов’язків із виховання дитини, домашнє насильство, невиліковні хвороби,  та інші.</w:t>
      </w:r>
    </w:p>
    <w:p w14:paraId="3D1C40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Більшості осіб/сімей, які перебувають у СЖО, надаються соціальні послуги, які визначаються за результатами оцінки потреб. </w:t>
      </w:r>
    </w:p>
    <w:p w14:paraId="0E0B91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</w:rPr>
        <w:t>а території громади проживають внутрішньо переміщені особи, які зазнали шкоди завданої воєнними діями. В разі звернень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чи </w:t>
      </w:r>
      <w:r>
        <w:rPr>
          <w:rFonts w:ascii="Times New Roman" w:hAnsi="Times New Roman" w:cs="Times New Roman"/>
          <w:sz w:val="28"/>
          <w:szCs w:val="28"/>
        </w:rPr>
        <w:t xml:space="preserve"> виявлення </w:t>
      </w:r>
      <w:r>
        <w:rPr>
          <w:rFonts w:ascii="Times New Roman" w:hAnsi="Times New Roman" w:cs="Times New Roman"/>
          <w:sz w:val="28"/>
          <w:szCs w:val="28"/>
          <w:lang w:val="uk-UA"/>
        </w:rPr>
        <w:t>таким</w:t>
      </w:r>
      <w:r>
        <w:rPr>
          <w:rFonts w:ascii="Times New Roman" w:hAnsi="Times New Roman" w:cs="Times New Roman"/>
          <w:sz w:val="28"/>
          <w:szCs w:val="28"/>
        </w:rPr>
        <w:t xml:space="preserve"> категоріям осіб визначається потреба в наданні соціальних послуг на основі оцінювання потреб. </w:t>
      </w:r>
    </w:p>
    <w:p w14:paraId="7DC752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</w:t>
      </w:r>
      <w:r>
        <w:rPr>
          <w:rFonts w:ascii="Times New Roman" w:hAnsi="Times New Roman" w:cs="Times New Roman"/>
          <w:sz w:val="28"/>
          <w:szCs w:val="28"/>
        </w:rPr>
        <w:t>ляхи розв’язання існуючих проблем розглядаються для кожної сім’ї окремо.</w:t>
      </w:r>
    </w:p>
    <w:p w14:paraId="368DCD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Соціальні послуги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у громаді за звітний період  отримали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3314 сімей</w:t>
      </w:r>
      <w:r>
        <w:rPr>
          <w:rFonts w:ascii="Times New Roman" w:hAnsi="Times New Roman" w:cs="Times New Roman"/>
          <w:sz w:val="28"/>
          <w:szCs w:val="28"/>
          <w:lang w:val="uk-UA"/>
        </w:rPr>
        <w:t>. Це число співпадає з даними щодо кількості сімей, які перебувають у складних життєвих обставинах, тож можна припустити, що усі родини цієї категорії охоплені соціальними послугами.</w:t>
      </w:r>
    </w:p>
    <w:p w14:paraId="56B946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Згідно з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додатком 3.1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до Порядку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кількість осіб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які звертались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щодо отримання соціальних послуг, та осіб/сімей, щодо яких надійшли звернення/ повідомлення про потребу в соціальних послугах за попередній календарний рік, у переважній більшості вразливих груп населення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співпадає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або наближена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кількості осіб/сімей</w:t>
      </w:r>
      <w:r>
        <w:rPr>
          <w:rFonts w:ascii="Times New Roman" w:hAnsi="Times New Roman" w:cs="Times New Roman"/>
          <w:sz w:val="28"/>
          <w:szCs w:val="28"/>
          <w:lang w:val="uk-UA"/>
        </w:rPr>
        <w:t>, щодо яких за результатами оцінювання потреб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зроблено висновок про потребу в наданні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соціальних послуг та кількістю осіб / сімей, які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отримували соціальні послуги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у звітному періоді.</w:t>
      </w:r>
    </w:p>
    <w:p w14:paraId="282E51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92318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ІІІ. Основні соціальні проблеми та потреби у соціальних послугах жителів територіальної громади з числа вразливих груп населення, осіб/сімей, які перебувають у складних життєвих обставинах.</w:t>
      </w:r>
    </w:p>
    <w:p w14:paraId="5D13284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07D4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визначення потреб населення громади у соціальних послугах  використана  інформація від діючих надавачів соціальних послуг шляхом проведення аналізу заяв, звернень, повідомлень про потребу в наданні соціальних послуг, проведення аналізу узагальнених даних, отриманих при проведенні оцінювання потреб сімей/осіб у соціальних послугах. Встановлено, що найбільшої підтримки потребують люди похилого віку, особи з інвалідністю різних вікових груп, внутрішньо переміщені особи, малозабезпечені громадяни, сім’ї з дітьми що опинились у складних життєвих обставинах і не здатні самостійно їх подолати, діти які залишились без батьківської опіки. </w:t>
      </w:r>
    </w:p>
    <w:p w14:paraId="2F6B66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Лебединській міській територіальній громаді функціонують два надавачі соціальних послуг, які надають соціальні послуги за рахунок коштів місцевого бюджету та яких внесено до Реєстру надавачів та отримувачів соціальних послуг:</w:t>
      </w:r>
    </w:p>
    <w:p w14:paraId="00C0E2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Лебединський міський територіальний центр соціального обслуговування (надання соціальних послуг);</w:t>
      </w:r>
    </w:p>
    <w:p w14:paraId="532BC2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Лебединський міський центр соціальних служб.</w:t>
      </w:r>
    </w:p>
    <w:p w14:paraId="5E9027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підтримки осіб, які постраждали від домашнього насильства в місті розбудована система спеціалізованих служб:</w:t>
      </w:r>
    </w:p>
    <w:p w14:paraId="207BB9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Аналіз отриманих та опрацьованих даних свідчить, що у громаді налагоджена системна робота з надання соціальних послуг.</w:t>
      </w:r>
    </w:p>
    <w:p w14:paraId="1CE7A4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Лебединській міській територіальній громаді забезпечено надання 7 базових соціальної послуги згідно вимог Державних стандартів у відповідності до індивідуальних потреб отримувачів цих соціальних послуг. </w:t>
      </w:r>
    </w:p>
    <w:p w14:paraId="27C5A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цілому протягом 2023 року 3314 сімей отримали різні соціальні послуги. При цьому слід зазначити, що деякі особи можуть отримувати дві та більше  зазначених послуг.  Найбільш затребуваними послугами в звітному періоді  були: інформування (1822),  догляд вдома (873), надання натуральної допомоги (524), соціальний супровід (89).</w:t>
      </w:r>
    </w:p>
    <w:p w14:paraId="1A281A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Для надання соціальної послуги догляду вдома в структурі Лебединського міського територіального центру соціального обслуговування (надання соціальних послуг) виділено по 1 соціальному робітнику для кожного старостинського округу.</w:t>
      </w:r>
    </w:p>
    <w:p w14:paraId="51287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надання соціальної послуги соціального супроводу сімей в складних життєвих обставинах виділено кілька штатних одиниць фахівців соціальної роботи в структурі Лебединського міського центру соціальних служб,при цьому один фахівець опікується кількома старостинськими округами.</w:t>
      </w:r>
    </w:p>
    <w:p w14:paraId="4155D3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Діють 2 мобільні бригади, в однієї наявний автомобіль. Для створення ефективної системи надання соціальних послуг в управлінні соціального захисту населення виконкому Лебединської міської ради створено відповідний відділ, до повноважень якого відноситься в т. ч.. організація надання соціальних послуг.</w:t>
      </w:r>
    </w:p>
    <w:p w14:paraId="272D6ED2">
      <w:pPr>
        <w:pStyle w:val="7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інформування та обізнаності населення про соціальні послуги, що надаються в територіальній громаді, їх зміст та порядок надання на офіційному веб-сайті міста доступний розділ «Соціальні послуги».</w:t>
      </w:r>
    </w:p>
    <w:p w14:paraId="504D980C">
      <w:pPr>
        <w:pStyle w:val="7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урахуванням вищевикладеного, можна зробити висновок, що всі соціальні групи, які потребують соціальної допомоги і підтримки, охоплені соціальними службами.</w:t>
      </w:r>
    </w:p>
    <w:p w14:paraId="2C552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умовах війни населення громади переживає страх, тривогу, які можуть перейти в депресивні стани, що складно подолати без фахівця. У жителів не сформована культура звернень за психологічною допомогою.</w:t>
      </w:r>
    </w:p>
    <w:p w14:paraId="6B23EE87">
      <w:pPr>
        <w:pStyle w:val="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Нові вразливі групи, які з’явилися в умовах війни потребують тривалого психологічного супроводу та підтримки. В міському центрі соціальних службах немає спеціально підготовлених фахівців для надання допомоги різним цільовим групам постраждалого населення. </w:t>
      </w:r>
    </w:p>
    <w:p w14:paraId="7C158E12">
      <w:pPr>
        <w:pStyle w:val="7"/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П</w:t>
      </w:r>
      <w:r>
        <w:rPr>
          <w:bCs/>
          <w:sz w:val="28"/>
          <w:szCs w:val="28"/>
          <w:lang w:val="uk-UA"/>
        </w:rPr>
        <w:t>роблемами у сфері соціального захисту та наданні соціальних послу</w:t>
      </w:r>
      <w:r>
        <w:rPr>
          <w:sz w:val="28"/>
          <w:szCs w:val="28"/>
          <w:lang w:val="uk-UA"/>
        </w:rPr>
        <w:t xml:space="preserve">г є щорічне збільшення чисельності людей з інвалідністю. Чисельно серед людей з набутою інвалідністю переважають чоловіки (травми на виробництві, внаслідок поранень і контузій під час бойових дій, ризикована поведінка, низька культура здоров’я та ін.). </w:t>
      </w:r>
    </w:p>
    <w:p w14:paraId="540BE51B">
      <w:pPr>
        <w:pStyle w:val="7"/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 w:eastAsia="ru-RU"/>
        </w:rPr>
        <w:t xml:space="preserve">Крім того  у відділеннях хоспісної і паліативної допомоги Лебединської міської територіальної громади перебуває </w:t>
      </w:r>
      <w:r>
        <w:rPr>
          <w:sz w:val="28"/>
          <w:szCs w:val="28"/>
          <w:lang w:val="en-US" w:eastAsia="ru-RU"/>
        </w:rPr>
        <w:t>6</w:t>
      </w:r>
      <w:r>
        <w:rPr>
          <w:sz w:val="28"/>
          <w:szCs w:val="28"/>
          <w:lang w:val="uk-UA" w:eastAsia="ru-RU"/>
        </w:rPr>
        <w:t>5 осіб, які в подальшому можуть бути потенційними отримувачами послуги стаціонарного догляду.</w:t>
      </w:r>
    </w:p>
    <w:p w14:paraId="16C6FE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Зважаючи на вищевикладене у Лебединській міській територіальній громаді існує потреба у соціальних послугах стаціонарного догляду, підтриманого проживання та денного догляду.</w:t>
      </w:r>
    </w:p>
    <w:p w14:paraId="522E84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Велика потреба у мобільному таксі, пов’язана зі збільшенням людей похилого віку та віддаленістю від центру громади. </w:t>
      </w:r>
    </w:p>
    <w:p w14:paraId="49175C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Потреба у психологах за програмою робота з кривдником, військового психолога., психолога для дорослих.</w:t>
      </w:r>
    </w:p>
    <w:p w14:paraId="4B4145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підвищення якості та рівня задоволення потреб населення в соціальних послугах в Лебединській міській територіальній громаді в 2024 році необхідно:</w:t>
      </w:r>
    </w:p>
    <w:p w14:paraId="6DB08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передбачити фінансування та продовжити надання наступних соціальних послуг:</w:t>
      </w:r>
    </w:p>
    <w:p w14:paraId="28B91A8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консультування </w:t>
      </w:r>
    </w:p>
    <w:p w14:paraId="1B4F926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інформування </w:t>
      </w:r>
    </w:p>
    <w:p w14:paraId="35644B0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соціальний супровід сімей/осіб, які перебувають у складних життєвих       обставинах </w:t>
      </w:r>
    </w:p>
    <w:p w14:paraId="2B0BBDD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соціальний супровід сімей, у яких виховуються діти-сироти і діти, позбавлені батьківського піклування</w:t>
      </w:r>
    </w:p>
    <w:p w14:paraId="1495FE9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екстрене (кризове) втручання</w:t>
      </w:r>
    </w:p>
    <w:p w14:paraId="19E4A3E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догляд вдома </w:t>
      </w:r>
    </w:p>
    <w:p w14:paraId="05A7623D">
      <w:pPr>
        <w:numPr>
          <w:ilvl w:val="0"/>
          <w:numId w:val="2"/>
        </w:numPr>
        <w:tabs>
          <w:tab w:val="left" w:pos="0"/>
          <w:tab w:val="clear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натуральна допомога</w:t>
      </w:r>
    </w:p>
    <w:p w14:paraId="7301C56B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посилити роботу щодо виявлення осіб/ сімей, які знаходяться в складних життєвих обставинах та потребують соціальних послуг;</w:t>
      </w:r>
    </w:p>
    <w:p w14:paraId="45C81C15">
      <w:pPr>
        <w:pStyle w:val="8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розглянути можливість започаткування у громаді таких соціальних послуг як супровід під час інклюзивного навчання та транспортні послуг ( «соціальне таксі»);</w:t>
      </w:r>
    </w:p>
    <w:p w14:paraId="533FB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вивчити питання щодо доцільності відкриття стаціонарного відділення для проживання осіб похилого віку;</w:t>
      </w:r>
    </w:p>
    <w:p w14:paraId="1EF84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у разі виникнення потреби запровадити надання нових соціальних послуг, в тому числі шляхом впровадження механізму соціального замовлення,  залучення громадських, релігійних, благодійних та інших організацій до надання послуг, що сприятиме доступності та задоволенню у повному обсязі потреби територіальної громади у соціальних послугах;</w:t>
      </w:r>
    </w:p>
    <w:p w14:paraId="40FDA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розвивати кадровий потенціал комунальних надавачів соціальних послуг, постійно проводити навчання працівників, які задіяні в наданні соціальних послуг;</w:t>
      </w:r>
    </w:p>
    <w:p w14:paraId="08AB1E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при запровадженні та наданні соціальних послуг, забезпечити інтеграцію гендерного підходу, враховуючи потреби та інтереси різних цільових груп жінок і чоловіків, дівчат і хлопців, осіб з інвалідністю, ветеранів війни та ін. </w:t>
      </w:r>
    </w:p>
    <w:p w14:paraId="3AB83F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суб`єктам, задіяним у наданні соціальних послуг, покращити інформаційно-роз`яснювальну роботу серед населення громади щодо надання соціальних послуг, в т. ч. шляхом облаштування інформаційних куточків в підпорядкованих установах, старостатах</w:t>
      </w:r>
    </w:p>
    <w:p w14:paraId="24D57D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Наявність ресурсів надавачів послуг, які функціонують в міській територіальній громаді в повній мірі задовольнили попит громадян у соціальних послугах та  мали достатні можливості для забезпечення кожній потребуючій особі/сім’ї своєчасної і доступної допомоги в звітному періоді.</w:t>
      </w:r>
    </w:p>
    <w:p w14:paraId="344C3E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Подальше систематичне визначення потреб територіальної громади у соціальних послугах дозволить вчасно реагувати на соціальні та демографічні процеси, попередити виникнення соціальних проблем, шляхом якісного надання соціальних послуг.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751AAA"/>
    <w:multiLevelType w:val="multilevel"/>
    <w:tmpl w:val="08751AA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0"/>
      <w:numFmt w:val="bullet"/>
      <w:lvlText w:val="-"/>
      <w:lvlJc w:val="left"/>
      <w:pPr>
        <w:ind w:left="1070" w:hanging="360"/>
      </w:pPr>
      <w:rPr>
        <w:rFonts w:hint="default" w:ascii="Times New Roman" w:hAnsi="Times New Roman" w:eastAsia="Times New Roman" w:cs="Times New Roman"/>
        <w:i w:val="0"/>
      </w:rPr>
    </w:lvl>
    <w:lvl w:ilvl="2" w:tentative="0">
      <w:start w:val="1"/>
      <w:numFmt w:val="bullet"/>
      <w:lvlText w:val=""/>
      <w:lvlJc w:val="left"/>
      <w:pPr>
        <w:tabs>
          <w:tab w:val="left" w:pos="2487"/>
        </w:tabs>
        <w:ind w:left="2487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0EF67CC6"/>
    <w:multiLevelType w:val="multilevel"/>
    <w:tmpl w:val="0EF67CC6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033"/>
    <w:rsid w:val="000247EE"/>
    <w:rsid w:val="00091BEE"/>
    <w:rsid w:val="0009573D"/>
    <w:rsid w:val="00135E3C"/>
    <w:rsid w:val="001E43F3"/>
    <w:rsid w:val="00202E58"/>
    <w:rsid w:val="002610B0"/>
    <w:rsid w:val="002871F2"/>
    <w:rsid w:val="002B1B0D"/>
    <w:rsid w:val="002F20D4"/>
    <w:rsid w:val="0032517D"/>
    <w:rsid w:val="00360CCB"/>
    <w:rsid w:val="003B2B18"/>
    <w:rsid w:val="00410A5D"/>
    <w:rsid w:val="00465F13"/>
    <w:rsid w:val="0050294A"/>
    <w:rsid w:val="005B3055"/>
    <w:rsid w:val="006309E6"/>
    <w:rsid w:val="006A13ED"/>
    <w:rsid w:val="006C35A9"/>
    <w:rsid w:val="007717C5"/>
    <w:rsid w:val="0079018D"/>
    <w:rsid w:val="00865B45"/>
    <w:rsid w:val="008C7617"/>
    <w:rsid w:val="008E50EC"/>
    <w:rsid w:val="00986A7C"/>
    <w:rsid w:val="009B4FF5"/>
    <w:rsid w:val="009D280B"/>
    <w:rsid w:val="00A01E42"/>
    <w:rsid w:val="00A73DE4"/>
    <w:rsid w:val="00B05F9C"/>
    <w:rsid w:val="00B7631F"/>
    <w:rsid w:val="00BE47F7"/>
    <w:rsid w:val="00C06F32"/>
    <w:rsid w:val="00C31391"/>
    <w:rsid w:val="00CF5D30"/>
    <w:rsid w:val="00CF7C89"/>
    <w:rsid w:val="00D314E7"/>
    <w:rsid w:val="00D957AF"/>
    <w:rsid w:val="00D96B69"/>
    <w:rsid w:val="00DF7E86"/>
    <w:rsid w:val="00E5502F"/>
    <w:rsid w:val="00ED18A5"/>
    <w:rsid w:val="00F00033"/>
    <w:rsid w:val="00F1200E"/>
    <w:rsid w:val="00F91FB2"/>
    <w:rsid w:val="00F92F39"/>
    <w:rsid w:val="00F9398B"/>
    <w:rsid w:val="00FA5708"/>
    <w:rsid w:val="00FC73F4"/>
    <w:rsid w:val="418A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6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88137-E05B-48E8-8FE0-5ADBE86817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6</Pages>
  <Words>381</Words>
  <Characters>2450</Characters>
  <Lines>104</Lines>
  <Paragraphs>29</Paragraphs>
  <TotalTime>703</TotalTime>
  <ScaleCrop>false</ScaleCrop>
  <LinksUpToDate>false</LinksUpToDate>
  <CharactersWithSpaces>2825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2024-05-13T13:21:00Z</dcterms:created>
  <dc:creator>Petrova</dc:creator>
  <cp:lastModifiedBy>UPSZN</cp:lastModifiedBy>
  <cp:lastPrinted>2024-07-12T07:54:00Z</cp:lastPrinted>
  <dcterms:modified xsi:type="dcterms:W3CDTF">2026-07-02T11:00:45Z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eyJoZGlkIjoiMDAyYjUwMjg1YTgwOWFhMzc4YzZhMDE2ZTdlMmE0ZGUifQ==</vt:lpwstr>
  </property>
  <property fmtid="{D5CDD505-2E9C-101B-9397-08002B2CF9AE}" pid="3" name="KSOProductBuildVer">
    <vt:lpwstr>1049-12.1.0.26880</vt:lpwstr>
  </property>
  <property fmtid="{D5CDD505-2E9C-101B-9397-08002B2CF9AE}" pid="4" name="ICV">
    <vt:lpwstr>8010592156B74D75BE1D457909905ADB_12</vt:lpwstr>
  </property>
</Properties>
</file>